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6777E" w:rsidRPr="00B6777E" w:rsidRDefault="00D55C7D" w:rsidP="007C4AFD">
      <w:pPr>
        <w:spacing w:line="360" w:lineRule="auto"/>
        <w:rPr>
          <w:rFonts w:ascii="Times New Roman" w:hAnsi="Times New Roman" w:cs="Times New Roman"/>
          <w:sz w:val="24"/>
          <w:szCs w:val="24"/>
        </w:rPr>
      </w:pPr>
      <w:r w:rsidRPr="00B6777E">
        <w:rPr>
          <w:rFonts w:ascii="Times New Roman" w:hAnsi="Times New Roman" w:cs="Times New Roman"/>
          <w:sz w:val="24"/>
          <w:szCs w:val="24"/>
        </w:rPr>
        <w:t>Name</w:t>
      </w:r>
    </w:p>
    <w:p w:rsidR="00B6777E" w:rsidRPr="00B6777E" w:rsidRDefault="00D55C7D" w:rsidP="007C4AFD">
      <w:pPr>
        <w:spacing w:line="360" w:lineRule="auto"/>
        <w:rPr>
          <w:rFonts w:ascii="Times New Roman" w:hAnsi="Times New Roman" w:cs="Times New Roman"/>
          <w:sz w:val="24"/>
          <w:szCs w:val="24"/>
        </w:rPr>
      </w:pPr>
      <w:r w:rsidRPr="00B6777E">
        <w:rPr>
          <w:rFonts w:ascii="Times New Roman" w:hAnsi="Times New Roman" w:cs="Times New Roman"/>
          <w:sz w:val="24"/>
          <w:szCs w:val="24"/>
        </w:rPr>
        <w:t>Course</w:t>
      </w:r>
    </w:p>
    <w:p w:rsidR="00B6777E" w:rsidRPr="00B6777E" w:rsidRDefault="00D55C7D" w:rsidP="007C4AFD">
      <w:pPr>
        <w:spacing w:line="360" w:lineRule="auto"/>
        <w:rPr>
          <w:rFonts w:ascii="Times New Roman" w:hAnsi="Times New Roman" w:cs="Times New Roman"/>
          <w:sz w:val="24"/>
          <w:szCs w:val="24"/>
        </w:rPr>
      </w:pPr>
      <w:r w:rsidRPr="00B6777E">
        <w:rPr>
          <w:rFonts w:ascii="Times New Roman" w:hAnsi="Times New Roman" w:cs="Times New Roman"/>
          <w:sz w:val="24"/>
          <w:szCs w:val="24"/>
        </w:rPr>
        <w:t>Course Instructor</w:t>
      </w:r>
    </w:p>
    <w:p w:rsidR="00B6777E" w:rsidRPr="00B6777E" w:rsidRDefault="00D55C7D" w:rsidP="007C4AFD">
      <w:pPr>
        <w:spacing w:line="360" w:lineRule="auto"/>
        <w:rPr>
          <w:rFonts w:ascii="Times New Roman" w:hAnsi="Times New Roman" w:cs="Times New Roman"/>
          <w:sz w:val="24"/>
          <w:szCs w:val="24"/>
        </w:rPr>
      </w:pPr>
      <w:r w:rsidRPr="00B6777E">
        <w:rPr>
          <w:rFonts w:ascii="Times New Roman" w:hAnsi="Times New Roman" w:cs="Times New Roman"/>
          <w:sz w:val="24"/>
          <w:szCs w:val="24"/>
        </w:rPr>
        <w:t>Date</w:t>
      </w:r>
    </w:p>
    <w:p w:rsidR="00B6777E" w:rsidRDefault="00D55C7D" w:rsidP="007C4AFD">
      <w:pPr>
        <w:spacing w:line="360" w:lineRule="auto"/>
        <w:ind w:firstLine="720"/>
        <w:jc w:val="center"/>
        <w:rPr>
          <w:rFonts w:ascii="Times New Roman" w:hAnsi="Times New Roman" w:cs="Times New Roman"/>
          <w:sz w:val="24"/>
          <w:szCs w:val="24"/>
        </w:rPr>
      </w:pPr>
      <w:r w:rsidRPr="00B6777E">
        <w:rPr>
          <w:rFonts w:ascii="Times New Roman" w:hAnsi="Times New Roman" w:cs="Times New Roman"/>
          <w:sz w:val="24"/>
          <w:szCs w:val="24"/>
        </w:rPr>
        <w:t>Death penalty and Intellectual disabilities</w:t>
      </w:r>
    </w:p>
    <w:p w:rsidR="007C4AFD" w:rsidRPr="00B6777E" w:rsidRDefault="00D55C7D" w:rsidP="007C4AFD">
      <w:pPr>
        <w:spacing w:line="36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Discussion </w:t>
      </w:r>
    </w:p>
    <w:p w:rsidR="00B6777E" w:rsidRDefault="00D55C7D" w:rsidP="007C4AFD">
      <w:pPr>
        <w:spacing w:line="360" w:lineRule="auto"/>
        <w:ind w:firstLine="720"/>
        <w:rPr>
          <w:rFonts w:ascii="Times New Roman" w:hAnsi="Times New Roman" w:cs="Times New Roman"/>
          <w:sz w:val="24"/>
          <w:szCs w:val="24"/>
        </w:rPr>
      </w:pPr>
      <w:r w:rsidRPr="00B6777E">
        <w:rPr>
          <w:rFonts w:ascii="Times New Roman" w:hAnsi="Times New Roman" w:cs="Times New Roman"/>
          <w:sz w:val="24"/>
          <w:szCs w:val="24"/>
        </w:rPr>
        <w:t>Intellectual disability is considered the ability to impose an unconstitutional death penalty upon people with intellectual disabilities. However, the representation that is poorly legal with evidentiary and onerous requirements also leads to executions and death sentences of defendants who are intellectually disabled. The U.S Supreme Court has created measures to limit and abolish the death penalty. However, it is still used in certain primary cases whereby guilt in the defendant and individuals with intellectual disabilities are not in that group. The U.S government stated that the death penalty is a harsh sentence applied to certain defendants, as many laws have been passed to exempt individuals' with limitations in intellectual ability as from the death penalty</w:t>
      </w:r>
      <w:r w:rsidR="007C4AFD">
        <w:rPr>
          <w:rFonts w:ascii="Times New Roman" w:hAnsi="Times New Roman" w:cs="Times New Roman"/>
          <w:sz w:val="24"/>
          <w:szCs w:val="24"/>
        </w:rPr>
        <w:t xml:space="preserve"> (</w:t>
      </w:r>
      <w:r w:rsidR="007C4AFD" w:rsidRPr="007C4AFD">
        <w:rPr>
          <w:rFonts w:ascii="Times New Roman" w:hAnsi="Times New Roman" w:cs="Times New Roman"/>
          <w:sz w:val="24"/>
          <w:szCs w:val="24"/>
        </w:rPr>
        <w:t>Liptak,</w:t>
      </w:r>
      <w:r w:rsidR="007C4AFD">
        <w:rPr>
          <w:rFonts w:ascii="Times New Roman" w:hAnsi="Times New Roman" w:cs="Times New Roman"/>
          <w:sz w:val="24"/>
          <w:szCs w:val="24"/>
        </w:rPr>
        <w:t xml:space="preserve"> 174)</w:t>
      </w:r>
      <w:r w:rsidRPr="00B6777E">
        <w:rPr>
          <w:rFonts w:ascii="Times New Roman" w:hAnsi="Times New Roman" w:cs="Times New Roman"/>
          <w:sz w:val="24"/>
          <w:szCs w:val="24"/>
        </w:rPr>
        <w:t>. There is currently a provision of certain strategies used in the discovering of intellectual disability as from the mental health community, and there is a limitation that is significant from the adaptive behavior and intellectual ability, presenting itself before the age of 18.</w:t>
      </w:r>
    </w:p>
    <w:p w:rsidR="00B6777E" w:rsidRDefault="00D55C7D" w:rsidP="007C4AFD">
      <w:pPr>
        <w:spacing w:line="360" w:lineRule="auto"/>
        <w:ind w:firstLine="720"/>
        <w:rPr>
          <w:rFonts w:ascii="Times New Roman" w:hAnsi="Times New Roman" w:cs="Times New Roman"/>
          <w:sz w:val="24"/>
          <w:szCs w:val="24"/>
        </w:rPr>
      </w:pPr>
      <w:r w:rsidRPr="00B6777E">
        <w:rPr>
          <w:rFonts w:ascii="Times New Roman" w:hAnsi="Times New Roman" w:cs="Times New Roman"/>
          <w:sz w:val="24"/>
          <w:szCs w:val="24"/>
        </w:rPr>
        <w:t>The DPIC offers to trace the history, which is important in a ruling. There are also key efforts noted from the legislature presently in various states, and the pivotal cases are brought through the issues towards the fore. Access is provided to certain research as regarded through many defendants with intellectual disabilities who have been removed from the death row, with the states applying through the differing rules during the process leading toward the sentences. The U.S Supreme Court in the year 2002, the month of June, rules in Virginia v. Atkins that the execution of individuals present with intellectual disabilities violated the prohibition against the Eight Amendment, which was regarded as an unusual and cruel punishment overruling the decision made in 1989 as from Lynaugh and Penry</w:t>
      </w:r>
      <w:r>
        <w:rPr>
          <w:rFonts w:ascii="Times New Roman" w:hAnsi="Times New Roman" w:cs="Times New Roman"/>
          <w:sz w:val="24"/>
          <w:szCs w:val="24"/>
        </w:rPr>
        <w:t xml:space="preserve"> (</w:t>
      </w:r>
      <w:r w:rsidRPr="00B6777E">
        <w:rPr>
          <w:rFonts w:ascii="Times New Roman" w:hAnsi="Times New Roman" w:cs="Times New Roman"/>
          <w:sz w:val="24"/>
          <w:szCs w:val="24"/>
        </w:rPr>
        <w:t>Green,</w:t>
      </w:r>
      <w:r>
        <w:rPr>
          <w:rFonts w:ascii="Times New Roman" w:hAnsi="Times New Roman" w:cs="Times New Roman"/>
          <w:sz w:val="24"/>
          <w:szCs w:val="24"/>
        </w:rPr>
        <w:t xml:space="preserve"> 1029)</w:t>
      </w:r>
      <w:r w:rsidRPr="00B6777E">
        <w:rPr>
          <w:rFonts w:ascii="Times New Roman" w:hAnsi="Times New Roman" w:cs="Times New Roman"/>
          <w:sz w:val="24"/>
          <w:szCs w:val="24"/>
        </w:rPr>
        <w:t xml:space="preserve">. The court's differences were made according to the public's consensus, which had emerged with demonstrations about the standards evolving against the execution of individuals’ presents with intellectual disabilities. </w:t>
      </w:r>
    </w:p>
    <w:p w:rsidR="00B6777E" w:rsidRDefault="00D55C7D" w:rsidP="007C4AFD">
      <w:pPr>
        <w:spacing w:line="360" w:lineRule="auto"/>
        <w:ind w:firstLine="720"/>
        <w:rPr>
          <w:rFonts w:ascii="Times New Roman" w:hAnsi="Times New Roman" w:cs="Times New Roman"/>
          <w:sz w:val="24"/>
          <w:szCs w:val="24"/>
        </w:rPr>
      </w:pPr>
      <w:r w:rsidRPr="00B6777E">
        <w:rPr>
          <w:rFonts w:ascii="Times New Roman" w:hAnsi="Times New Roman" w:cs="Times New Roman"/>
          <w:sz w:val="24"/>
          <w:szCs w:val="24"/>
        </w:rPr>
        <w:t xml:space="preserve"> For a long period, the United States and Texas have struggled to determine whether a death penalty defendant, ineligible for executions, has intellectual disabilities. After the U.S Supreme court ruling in 2002, that the individuals to be executed with the presence of intellectual disability had either to face unusual or cruel punishments rather than the death penalty</w:t>
      </w:r>
      <w:r w:rsidR="007C4AFD">
        <w:rPr>
          <w:rFonts w:ascii="Times New Roman" w:hAnsi="Times New Roman" w:cs="Times New Roman"/>
          <w:sz w:val="24"/>
          <w:szCs w:val="24"/>
        </w:rPr>
        <w:t xml:space="preserve"> (</w:t>
      </w:r>
      <w:r w:rsidR="007C4AFD" w:rsidRPr="007C4AFD">
        <w:rPr>
          <w:rFonts w:ascii="Times New Roman" w:hAnsi="Times New Roman" w:cs="Times New Roman"/>
          <w:sz w:val="24"/>
          <w:szCs w:val="24"/>
        </w:rPr>
        <w:t>Shaw,</w:t>
      </w:r>
      <w:r w:rsidR="007C4AFD">
        <w:rPr>
          <w:rFonts w:ascii="Times New Roman" w:hAnsi="Times New Roman" w:cs="Times New Roman"/>
          <w:sz w:val="24"/>
          <w:szCs w:val="24"/>
        </w:rPr>
        <w:t xml:space="preserve"> 440)</w:t>
      </w:r>
      <w:r w:rsidRPr="00B6777E">
        <w:rPr>
          <w:rFonts w:ascii="Times New Roman" w:hAnsi="Times New Roman" w:cs="Times New Roman"/>
          <w:sz w:val="24"/>
          <w:szCs w:val="24"/>
        </w:rPr>
        <w:t>. In the United States, whereby Western democracy executes the citizens, the Supreme Court has exempted certain groups of vulnerable people from execution, including those with intellectual disabilities. Among the nine states in the United States, Texas is among those states with the death penalty, which has not been passed down the law with outlining rules protecting individuals with intellectual ability from facing execution. However, in 2019, a law was passed in Supreme Court against defendants with intellectual disability, that there was a need for clinical and scientific evidence to determine who intellectual disabled was. Lastly, the Atkins case, which was among the seminal moments in the death penalty history, the case was able to spare the venerable defendants' lives by providing blueprints present in achieving strategic supervision before executing an individual with intellectual disability.</w:t>
      </w:r>
    </w:p>
    <w:p w:rsidR="00B6777E" w:rsidRDefault="00B6777E" w:rsidP="007C4AFD">
      <w:pPr>
        <w:spacing w:line="360" w:lineRule="auto"/>
        <w:ind w:firstLine="720"/>
        <w:rPr>
          <w:rFonts w:ascii="Times New Roman" w:hAnsi="Times New Roman" w:cs="Times New Roman"/>
          <w:sz w:val="24"/>
          <w:szCs w:val="24"/>
        </w:rPr>
      </w:pPr>
    </w:p>
    <w:p w:rsidR="00B6777E" w:rsidRDefault="00B6777E" w:rsidP="007C4AFD">
      <w:pPr>
        <w:spacing w:line="360" w:lineRule="auto"/>
        <w:ind w:firstLine="720"/>
        <w:rPr>
          <w:rFonts w:ascii="Times New Roman" w:hAnsi="Times New Roman" w:cs="Times New Roman"/>
          <w:sz w:val="24"/>
          <w:szCs w:val="24"/>
        </w:rPr>
      </w:pPr>
    </w:p>
    <w:p w:rsidR="00B6777E" w:rsidRDefault="00B6777E" w:rsidP="007C4AFD">
      <w:pPr>
        <w:spacing w:line="360" w:lineRule="auto"/>
        <w:ind w:firstLine="720"/>
        <w:rPr>
          <w:rFonts w:ascii="Times New Roman" w:hAnsi="Times New Roman" w:cs="Times New Roman"/>
          <w:sz w:val="24"/>
          <w:szCs w:val="24"/>
        </w:rPr>
      </w:pPr>
    </w:p>
    <w:p w:rsidR="00B6777E" w:rsidRDefault="00B6777E" w:rsidP="007C4AFD">
      <w:pPr>
        <w:spacing w:line="360" w:lineRule="auto"/>
        <w:ind w:firstLine="720"/>
        <w:rPr>
          <w:rFonts w:ascii="Times New Roman" w:hAnsi="Times New Roman" w:cs="Times New Roman"/>
          <w:sz w:val="24"/>
          <w:szCs w:val="24"/>
        </w:rPr>
      </w:pPr>
    </w:p>
    <w:p w:rsidR="00B6777E" w:rsidRDefault="00B6777E" w:rsidP="007C4AFD">
      <w:pPr>
        <w:spacing w:line="360" w:lineRule="auto"/>
        <w:ind w:firstLine="720"/>
        <w:rPr>
          <w:rFonts w:ascii="Times New Roman" w:hAnsi="Times New Roman" w:cs="Times New Roman"/>
          <w:sz w:val="24"/>
          <w:szCs w:val="24"/>
        </w:rPr>
      </w:pPr>
    </w:p>
    <w:p w:rsidR="00B6777E" w:rsidRDefault="00B6777E" w:rsidP="007C4AFD">
      <w:pPr>
        <w:spacing w:line="360" w:lineRule="auto"/>
        <w:ind w:firstLine="720"/>
        <w:rPr>
          <w:rFonts w:ascii="Times New Roman" w:hAnsi="Times New Roman" w:cs="Times New Roman"/>
          <w:sz w:val="24"/>
          <w:szCs w:val="24"/>
        </w:rPr>
      </w:pPr>
    </w:p>
    <w:p w:rsidR="00B6777E" w:rsidRDefault="00B6777E" w:rsidP="007C4AFD">
      <w:pPr>
        <w:spacing w:line="360" w:lineRule="auto"/>
        <w:ind w:firstLine="720"/>
        <w:rPr>
          <w:rFonts w:ascii="Times New Roman" w:hAnsi="Times New Roman" w:cs="Times New Roman"/>
          <w:sz w:val="24"/>
          <w:szCs w:val="24"/>
        </w:rPr>
      </w:pPr>
    </w:p>
    <w:p w:rsidR="00B6777E" w:rsidRDefault="00B6777E" w:rsidP="007C4AFD">
      <w:pPr>
        <w:spacing w:line="360" w:lineRule="auto"/>
        <w:ind w:firstLine="720"/>
        <w:rPr>
          <w:rFonts w:ascii="Times New Roman" w:hAnsi="Times New Roman" w:cs="Times New Roman"/>
          <w:sz w:val="24"/>
          <w:szCs w:val="24"/>
        </w:rPr>
      </w:pPr>
    </w:p>
    <w:p w:rsidR="00B6777E" w:rsidRDefault="00B6777E" w:rsidP="007C4AFD">
      <w:pPr>
        <w:spacing w:line="360" w:lineRule="auto"/>
        <w:ind w:firstLine="720"/>
        <w:rPr>
          <w:rFonts w:ascii="Times New Roman" w:hAnsi="Times New Roman" w:cs="Times New Roman"/>
          <w:sz w:val="24"/>
          <w:szCs w:val="24"/>
        </w:rPr>
      </w:pPr>
    </w:p>
    <w:p w:rsidR="00B6777E" w:rsidRDefault="00B6777E" w:rsidP="007C4AFD">
      <w:pPr>
        <w:spacing w:line="360" w:lineRule="auto"/>
        <w:ind w:firstLine="720"/>
        <w:rPr>
          <w:rFonts w:ascii="Times New Roman" w:hAnsi="Times New Roman" w:cs="Times New Roman"/>
          <w:sz w:val="24"/>
          <w:szCs w:val="24"/>
        </w:rPr>
      </w:pPr>
    </w:p>
    <w:p w:rsidR="00B6777E" w:rsidRDefault="00D55C7D" w:rsidP="007C4AFD">
      <w:pPr>
        <w:spacing w:line="36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References </w:t>
      </w:r>
    </w:p>
    <w:p w:rsidR="0025503D" w:rsidRDefault="00D55C7D" w:rsidP="007C4AFD">
      <w:pPr>
        <w:spacing w:line="360" w:lineRule="auto"/>
        <w:ind w:left="720" w:hanging="720"/>
        <w:rPr>
          <w:rFonts w:ascii="Times New Roman" w:hAnsi="Times New Roman" w:cs="Times New Roman"/>
          <w:sz w:val="24"/>
          <w:szCs w:val="24"/>
        </w:rPr>
      </w:pPr>
      <w:r w:rsidRPr="00B6777E">
        <w:rPr>
          <w:rFonts w:ascii="Times New Roman" w:hAnsi="Times New Roman" w:cs="Times New Roman"/>
          <w:sz w:val="24"/>
          <w:szCs w:val="24"/>
        </w:rPr>
        <w:t>Green, Megan. "Texas, the Death Penalty, and Intellectual Disability." </w:t>
      </w:r>
      <w:r w:rsidRPr="00B6777E">
        <w:rPr>
          <w:rFonts w:ascii="Times New Roman" w:hAnsi="Times New Roman" w:cs="Times New Roman"/>
          <w:i/>
          <w:iCs/>
          <w:sz w:val="24"/>
          <w:szCs w:val="24"/>
        </w:rPr>
        <w:t>. Mary's LJ</w:t>
      </w:r>
      <w:r w:rsidRPr="00B6777E">
        <w:rPr>
          <w:rFonts w:ascii="Times New Roman" w:hAnsi="Times New Roman" w:cs="Times New Roman"/>
          <w:sz w:val="24"/>
          <w:szCs w:val="24"/>
        </w:rPr>
        <w:t> 50 (2019): 1029.</w:t>
      </w:r>
      <w:r>
        <w:rPr>
          <w:rFonts w:ascii="Times New Roman" w:hAnsi="Times New Roman" w:cs="Times New Roman"/>
          <w:sz w:val="24"/>
          <w:szCs w:val="24"/>
        </w:rPr>
        <w:t xml:space="preserve"> </w:t>
      </w:r>
      <w:hyperlink r:id="rId6" w:history="1">
        <w:r w:rsidRPr="008B208C">
          <w:rPr>
            <w:rStyle w:val="Hyperlink"/>
            <w:rFonts w:ascii="Times New Roman" w:hAnsi="Times New Roman" w:cs="Times New Roman"/>
            <w:sz w:val="24"/>
            <w:szCs w:val="24"/>
          </w:rPr>
          <w:t>https://commons.stmarytx.edu/cgi/viewcontent.cgi?article=1040&amp;context=thestmaryslawjournal</w:t>
        </w:r>
      </w:hyperlink>
      <w:r>
        <w:rPr>
          <w:rFonts w:ascii="Times New Roman" w:hAnsi="Times New Roman" w:cs="Times New Roman"/>
          <w:sz w:val="24"/>
          <w:szCs w:val="24"/>
        </w:rPr>
        <w:t xml:space="preserve"> </w:t>
      </w:r>
    </w:p>
    <w:p w:rsidR="00B6777E" w:rsidRDefault="00D55C7D" w:rsidP="007C4AFD">
      <w:pPr>
        <w:spacing w:line="360" w:lineRule="auto"/>
        <w:ind w:left="720" w:hanging="720"/>
        <w:rPr>
          <w:rFonts w:ascii="Times New Roman" w:hAnsi="Times New Roman" w:cs="Times New Roman"/>
          <w:sz w:val="24"/>
          <w:szCs w:val="24"/>
        </w:rPr>
      </w:pPr>
      <w:r w:rsidRPr="00B6777E">
        <w:rPr>
          <w:rFonts w:ascii="Times New Roman" w:hAnsi="Times New Roman" w:cs="Times New Roman"/>
          <w:sz w:val="24"/>
          <w:szCs w:val="24"/>
        </w:rPr>
        <w:t>Liptak, Adam. "Supreme Court to Hear Death Penalty Cases." </w:t>
      </w:r>
      <w:r w:rsidRPr="00B6777E">
        <w:rPr>
          <w:rFonts w:ascii="Times New Roman" w:hAnsi="Times New Roman" w:cs="Times New Roman"/>
          <w:i/>
          <w:iCs/>
          <w:sz w:val="24"/>
          <w:szCs w:val="24"/>
        </w:rPr>
        <w:t>Sup. Ct. Preview</w:t>
      </w:r>
      <w:r w:rsidRPr="00B6777E">
        <w:rPr>
          <w:rFonts w:ascii="Times New Roman" w:hAnsi="Times New Roman" w:cs="Times New Roman"/>
          <w:sz w:val="24"/>
          <w:szCs w:val="24"/>
        </w:rPr>
        <w:t> (2016): 174.</w:t>
      </w:r>
      <w:r>
        <w:rPr>
          <w:rFonts w:ascii="Times New Roman" w:hAnsi="Times New Roman" w:cs="Times New Roman"/>
          <w:sz w:val="24"/>
          <w:szCs w:val="24"/>
        </w:rPr>
        <w:t xml:space="preserve"> </w:t>
      </w:r>
      <w:hyperlink r:id="rId7" w:history="1">
        <w:r w:rsidRPr="008B208C">
          <w:rPr>
            <w:rStyle w:val="Hyperlink"/>
            <w:rFonts w:ascii="Times New Roman" w:hAnsi="Times New Roman" w:cs="Times New Roman"/>
            <w:sz w:val="24"/>
            <w:szCs w:val="24"/>
          </w:rPr>
          <w:t>https://lawdigitalcommons.bc.edu/cgi/viewcontent.cgi?article=3785&amp;context=bclr</w:t>
        </w:r>
      </w:hyperlink>
      <w:r>
        <w:rPr>
          <w:rFonts w:ascii="Times New Roman" w:hAnsi="Times New Roman" w:cs="Times New Roman"/>
          <w:sz w:val="24"/>
          <w:szCs w:val="24"/>
        </w:rPr>
        <w:t xml:space="preserve"> </w:t>
      </w:r>
    </w:p>
    <w:p w:rsidR="00B6777E" w:rsidRDefault="00D55C7D" w:rsidP="007C4AFD">
      <w:pPr>
        <w:spacing w:line="360" w:lineRule="auto"/>
        <w:ind w:left="720" w:hanging="720"/>
        <w:rPr>
          <w:rFonts w:ascii="Times New Roman" w:hAnsi="Times New Roman" w:cs="Times New Roman"/>
          <w:sz w:val="24"/>
          <w:szCs w:val="24"/>
        </w:rPr>
      </w:pPr>
      <w:r w:rsidRPr="00B6777E">
        <w:rPr>
          <w:rFonts w:ascii="Times New Roman" w:hAnsi="Times New Roman" w:cs="Times New Roman"/>
          <w:sz w:val="24"/>
          <w:szCs w:val="24"/>
        </w:rPr>
        <w:t>Shaw, Emily V., Nicholas Scurich, and David L. Faigman. "Intellectual Disability, The Death Penalty, and Jurors." </w:t>
      </w:r>
      <w:r w:rsidRPr="00B6777E">
        <w:rPr>
          <w:rFonts w:ascii="Times New Roman" w:hAnsi="Times New Roman" w:cs="Times New Roman"/>
          <w:i/>
          <w:iCs/>
          <w:sz w:val="24"/>
          <w:szCs w:val="24"/>
        </w:rPr>
        <w:t>Jurimetrics</w:t>
      </w:r>
      <w:r w:rsidRPr="00B6777E">
        <w:rPr>
          <w:rFonts w:ascii="Times New Roman" w:hAnsi="Times New Roman" w:cs="Times New Roman"/>
          <w:sz w:val="24"/>
          <w:szCs w:val="24"/>
        </w:rPr>
        <w:t> 58 (2018): 437-456.</w:t>
      </w:r>
      <w:r>
        <w:rPr>
          <w:rFonts w:ascii="Times New Roman" w:hAnsi="Times New Roman" w:cs="Times New Roman"/>
          <w:sz w:val="24"/>
          <w:szCs w:val="24"/>
        </w:rPr>
        <w:t xml:space="preserve"> </w:t>
      </w:r>
      <w:hyperlink r:id="rId8" w:history="1">
        <w:r w:rsidRPr="008B208C">
          <w:rPr>
            <w:rStyle w:val="Hyperlink"/>
            <w:rFonts w:ascii="Times New Roman" w:hAnsi="Times New Roman" w:cs="Times New Roman"/>
            <w:sz w:val="24"/>
            <w:szCs w:val="24"/>
          </w:rPr>
          <w:t>https://core.ac.uk/download/pdf/304682232.pdf</w:t>
        </w:r>
      </w:hyperlink>
      <w:r>
        <w:rPr>
          <w:rFonts w:ascii="Times New Roman" w:hAnsi="Times New Roman" w:cs="Times New Roman"/>
          <w:sz w:val="24"/>
          <w:szCs w:val="24"/>
        </w:rPr>
        <w:t xml:space="preserve"> </w:t>
      </w:r>
    </w:p>
    <w:p w:rsidR="00B6777E" w:rsidRDefault="00B6777E" w:rsidP="00B6777E">
      <w:pPr>
        <w:ind w:left="720" w:hanging="720"/>
        <w:rPr>
          <w:rFonts w:ascii="Times New Roman" w:hAnsi="Times New Roman" w:cs="Times New Roman"/>
          <w:sz w:val="24"/>
          <w:szCs w:val="24"/>
        </w:rPr>
      </w:pPr>
    </w:p>
    <w:p w:rsidR="00B6777E" w:rsidRPr="00B6777E" w:rsidRDefault="00B6777E" w:rsidP="00B6777E">
      <w:pPr>
        <w:ind w:left="720" w:hanging="720"/>
        <w:rPr>
          <w:rFonts w:ascii="Times New Roman" w:hAnsi="Times New Roman" w:cs="Times New Roman"/>
          <w:sz w:val="24"/>
          <w:szCs w:val="24"/>
        </w:rPr>
      </w:pPr>
    </w:p>
    <w:sectPr w:rsidR="00B6777E" w:rsidRPr="00B6777E">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55C7D" w:rsidRDefault="00D55C7D">
      <w:pPr>
        <w:spacing w:after="0" w:line="240" w:lineRule="auto"/>
      </w:pPr>
      <w:r>
        <w:separator/>
      </w:r>
    </w:p>
  </w:endnote>
  <w:endnote w:type="continuationSeparator" w:id="0">
    <w:p w:rsidR="00D55C7D" w:rsidRDefault="00D55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55C7D" w:rsidRDefault="00D55C7D">
      <w:pPr>
        <w:spacing w:after="0" w:line="240" w:lineRule="auto"/>
      </w:pPr>
      <w:r>
        <w:separator/>
      </w:r>
    </w:p>
  </w:footnote>
  <w:footnote w:type="continuationSeparator" w:id="0">
    <w:p w:rsidR="00D55C7D" w:rsidRDefault="00D55C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6777E" w:rsidRDefault="00D55C7D">
    <w:pPr>
      <w:pStyle w:val="Header"/>
      <w:jc w:val="right"/>
    </w:pPr>
    <w:r w:rsidRPr="00B6777E">
      <w:rPr>
        <w:rFonts w:ascii="Times New Roman" w:hAnsi="Times New Roman" w:cs="Times New Roman"/>
        <w:sz w:val="24"/>
        <w:szCs w:val="24"/>
      </w:rPr>
      <w:t xml:space="preserve">Surname </w:t>
    </w:r>
    <w:sdt>
      <w:sdtPr>
        <w:rPr>
          <w:rFonts w:ascii="Times New Roman" w:hAnsi="Times New Roman" w:cs="Times New Roman"/>
          <w:sz w:val="24"/>
          <w:szCs w:val="24"/>
        </w:rPr>
        <w:id w:val="594608552"/>
        <w:docPartObj>
          <w:docPartGallery w:val="Page Numbers (Top of Page)"/>
          <w:docPartUnique/>
        </w:docPartObj>
      </w:sdtPr>
      <w:sdtEndPr>
        <w:rPr>
          <w:rFonts w:asciiTheme="minorHAnsi" w:hAnsiTheme="minorHAnsi" w:cstheme="minorBidi"/>
          <w:noProof/>
          <w:sz w:val="22"/>
          <w:szCs w:val="22"/>
        </w:rPr>
      </w:sdtEndPr>
      <w:sdtContent>
        <w:r w:rsidRPr="00B6777E">
          <w:rPr>
            <w:rFonts w:ascii="Times New Roman" w:hAnsi="Times New Roman" w:cs="Times New Roman"/>
            <w:sz w:val="24"/>
            <w:szCs w:val="24"/>
          </w:rPr>
          <w:fldChar w:fldCharType="begin"/>
        </w:r>
        <w:r w:rsidRPr="00B6777E">
          <w:rPr>
            <w:rFonts w:ascii="Times New Roman" w:hAnsi="Times New Roman" w:cs="Times New Roman"/>
            <w:sz w:val="24"/>
            <w:szCs w:val="24"/>
          </w:rPr>
          <w:instrText xml:space="preserve"> PAGE   \* MERGEFORMAT </w:instrText>
        </w:r>
        <w:r w:rsidRPr="00B6777E">
          <w:rPr>
            <w:rFonts w:ascii="Times New Roman" w:hAnsi="Times New Roman" w:cs="Times New Roman"/>
            <w:sz w:val="24"/>
            <w:szCs w:val="24"/>
          </w:rPr>
          <w:fldChar w:fldCharType="separate"/>
        </w:r>
        <w:r w:rsidR="00D73E28">
          <w:rPr>
            <w:rFonts w:ascii="Times New Roman" w:hAnsi="Times New Roman" w:cs="Times New Roman"/>
            <w:noProof/>
            <w:sz w:val="24"/>
            <w:szCs w:val="24"/>
          </w:rPr>
          <w:t>1</w:t>
        </w:r>
        <w:r w:rsidRPr="00B6777E">
          <w:rPr>
            <w:rFonts w:ascii="Times New Roman" w:hAnsi="Times New Roman" w:cs="Times New Roman"/>
            <w:noProof/>
            <w:sz w:val="24"/>
            <w:szCs w:val="24"/>
          </w:rPr>
          <w:fldChar w:fldCharType="end"/>
        </w:r>
      </w:sdtContent>
    </w:sdt>
  </w:p>
  <w:p w:rsidR="00B6777E" w:rsidRDefault="00B677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777E"/>
    <w:rsid w:val="0025503D"/>
    <w:rsid w:val="002C5AD6"/>
    <w:rsid w:val="0073017B"/>
    <w:rsid w:val="007C4AFD"/>
    <w:rsid w:val="008B208C"/>
    <w:rsid w:val="00B6777E"/>
    <w:rsid w:val="00D55C7D"/>
    <w:rsid w:val="00D73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A8D62D-BE9F-CD41-A959-EA543F8C9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77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77E"/>
  </w:style>
  <w:style w:type="paragraph" w:styleId="Footer">
    <w:name w:val="footer"/>
    <w:basedOn w:val="Normal"/>
    <w:link w:val="FooterChar"/>
    <w:uiPriority w:val="99"/>
    <w:unhideWhenUsed/>
    <w:rsid w:val="00B677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777E"/>
  </w:style>
  <w:style w:type="character" w:styleId="Hyperlink">
    <w:name w:val="Hyperlink"/>
    <w:basedOn w:val="DefaultParagraphFont"/>
    <w:uiPriority w:val="99"/>
    <w:unhideWhenUsed/>
    <w:rsid w:val="00B6777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re.ac.uk/download/pdf/304682232.pdf" TargetMode="External" /><Relationship Id="rId3" Type="http://schemas.openxmlformats.org/officeDocument/2006/relationships/webSettings" Target="webSettings.xml" /><Relationship Id="rId7" Type="http://schemas.openxmlformats.org/officeDocument/2006/relationships/hyperlink" Target="https://lawdigitalcommons.bc.edu/cgi/viewcontent.cgi?article=3785&amp;context=bclr"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commons.stmarytx.edu/cgi/viewcontent.cgi?article=1040&amp;context=thestmaryslawjournal"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647</Words>
  <Characters>3692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bernice</dc:creator>
  <cp:lastModifiedBy>nyoike31@gmail.com</cp:lastModifiedBy>
  <cp:revision>2</cp:revision>
  <dcterms:created xsi:type="dcterms:W3CDTF">2020-10-09T03:33:00Z</dcterms:created>
  <dcterms:modified xsi:type="dcterms:W3CDTF">2020-10-09T03:33:00Z</dcterms:modified>
</cp:coreProperties>
</file>